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800" w:firstLineChars="250"/>
        <w:jc w:val="center"/>
        <w:rPr>
          <w:rFonts w:hint="eastAsia" w:ascii="宋体" w:hAnsi="宋体" w:eastAsia="宋体" w:cs="宋体"/>
          <w:bCs/>
          <w:sz w:val="32"/>
        </w:rPr>
      </w:pPr>
      <w:r>
        <w:rPr>
          <w:rFonts w:hint="eastAsia" w:ascii="宋体" w:hAnsi="宋体" w:eastAsia="宋体" w:cs="宋体"/>
          <w:bCs/>
          <w:sz w:val="32"/>
        </w:rPr>
        <w:t>项目名称:202</w:t>
      </w:r>
      <w:r>
        <w:rPr>
          <w:rFonts w:hint="eastAsia" w:ascii="宋体" w:hAnsi="宋体" w:eastAsia="宋体" w:cs="宋体"/>
          <w:bCs/>
          <w:sz w:val="32"/>
          <w:lang w:val="en-US" w:eastAsia="zh-CN"/>
        </w:rPr>
        <w:t>2</w:t>
      </w:r>
      <w:r>
        <w:rPr>
          <w:rFonts w:hint="eastAsia" w:ascii="宋体" w:hAnsi="宋体" w:eastAsia="宋体" w:cs="宋体"/>
          <w:bCs/>
          <w:sz w:val="32"/>
        </w:rPr>
        <w:t>年</w:t>
      </w:r>
      <w:r>
        <w:rPr>
          <w:rFonts w:hint="eastAsia" w:ascii="宋体" w:hAnsi="宋体" w:cs="宋体"/>
          <w:bCs/>
          <w:sz w:val="32"/>
          <w:lang w:val="en-US" w:eastAsia="zh-CN"/>
        </w:rPr>
        <w:t>6</w:t>
      </w:r>
      <w:r>
        <w:rPr>
          <w:rFonts w:hint="eastAsia" w:ascii="宋体" w:hAnsi="宋体" w:eastAsia="宋体" w:cs="宋体"/>
          <w:bCs/>
          <w:sz w:val="32"/>
        </w:rPr>
        <w:t>月份公司检测试验辅助材料采购</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六</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1.项目名称：202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6</w:t>
      </w:r>
      <w:r>
        <w:rPr>
          <w:rFonts w:hint="eastAsia" w:ascii="宋体" w:hAnsi="宋体" w:eastAsia="宋体" w:cs="宋体"/>
          <w:sz w:val="28"/>
          <w:szCs w:val="28"/>
        </w:rPr>
        <w:t>月份公司检测试验辅助材料采购</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2.需求单位：合肥市建设工程监测中心有限责任公司</w:t>
      </w:r>
    </w:p>
    <w:tbl>
      <w:tblPr>
        <w:tblStyle w:val="18"/>
        <w:tblpPr w:leftFromText="180" w:rightFromText="180" w:vertAnchor="text" w:horzAnchor="page" w:tblpX="1105" w:tblpY="608"/>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4353"/>
        <w:gridCol w:w="146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59"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2072"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4353"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461"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124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color w:val="000000" w:themeColor="text1"/>
                <w:kern w:val="0"/>
                <w:sz w:val="24"/>
                <w:szCs w:val="24"/>
                <w14:textFill>
                  <w14:solidFill>
                    <w14:schemeClr w14:val="tx1"/>
                  </w14:solidFill>
                </w14:textFill>
              </w:rPr>
              <w:t>50ml量筒</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精度1ml，量程50ml，只需一份校准证书</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cs="宋体" w:eastAsiaTheme="minorEastAsia"/>
                <w:kern w:val="0"/>
                <w:sz w:val="24"/>
                <w:szCs w:val="24"/>
                <w:lang w:val="en-US" w:eastAsia="zh-CN"/>
              </w:rPr>
            </w:pPr>
            <w:r>
              <w:rPr>
                <w:rFonts w:hint="eastAsia" w:asciiTheme="minorEastAsia" w:hAnsiTheme="minorEastAsia" w:eastAsia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4"/>
                <w:szCs w:val="24"/>
                <w:lang w:val="en-US" w:eastAsia="zh-CN"/>
              </w:rPr>
            </w:pPr>
            <w:r>
              <w:rPr>
                <w:rFonts w:hint="eastAsia" w:ascii="宋体" w:hAnsi="宋体" w:eastAsia="宋体" w:cs="宋体"/>
                <w:color w:val="000000" w:themeColor="text1"/>
                <w:kern w:val="0"/>
                <w:sz w:val="24"/>
                <w:szCs w:val="24"/>
                <w14:textFill>
                  <w14:solidFill>
                    <w14:schemeClr w14:val="tx1"/>
                  </w14:solidFill>
                </w14:textFill>
              </w:rPr>
              <w:t>不锈钢托盘</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40*30*2cm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cs="宋体" w:eastAsiaTheme="minorEastAsia"/>
                <w:kern w:val="0"/>
                <w:sz w:val="24"/>
                <w:szCs w:val="24"/>
                <w:lang w:val="en-US" w:eastAsia="zh-CN"/>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10</w:t>
            </w: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4"/>
                <w:szCs w:val="24"/>
                <w:lang w:eastAsia="zh-CN"/>
              </w:rPr>
            </w:pPr>
            <w:r>
              <w:rPr>
                <w:rFonts w:hint="eastAsia" w:ascii="宋体" w:hAnsi="宋体" w:eastAsia="宋体" w:cs="宋体"/>
                <w:color w:val="000000" w:themeColor="text1"/>
                <w:kern w:val="0"/>
                <w:sz w:val="24"/>
                <w:szCs w:val="24"/>
                <w14:textFill>
                  <w14:solidFill>
                    <w14:schemeClr w14:val="tx1"/>
                  </w14:solidFill>
                </w14:textFill>
              </w:rPr>
              <w:t>不锈钢托盘</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60*40*2cm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cs="宋体" w:eastAsiaTheme="minorEastAsia"/>
                <w:kern w:val="0"/>
                <w:sz w:val="24"/>
                <w:szCs w:val="24"/>
                <w:lang w:val="en-US" w:eastAsia="zh-CN"/>
              </w:rPr>
            </w:pPr>
            <w:r>
              <w:rPr>
                <w:rFonts w:hint="eastAsia" w:asciiTheme="minorEastAsia" w:hAnsiTheme="minorEastAsia" w:eastAsiaTheme="minorEastAsia"/>
                <w:color w:val="000000"/>
                <w:kern w:val="0"/>
                <w:sz w:val="24"/>
                <w:szCs w:val="24"/>
              </w:rPr>
              <w:t>10</w:t>
            </w:r>
            <w:r>
              <w:rPr>
                <w:rFonts w:hint="eastAsia" w:asciiTheme="minorEastAsia" w:hAnsiTheme="minorEastAsia" w:eastAsiaTheme="minorEastAsia"/>
                <w:color w:val="000000"/>
                <w:kern w:val="0"/>
                <w:sz w:val="24"/>
                <w:szCs w:val="24"/>
                <w:lang w:val="en-US" w:eastAsia="zh-CN"/>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4"/>
                <w:szCs w:val="24"/>
                <w:lang w:eastAsia="zh-CN"/>
              </w:rPr>
            </w:pPr>
            <w:r>
              <w:rPr>
                <w:rFonts w:hint="eastAsia" w:ascii="宋体" w:hAnsi="宋体" w:eastAsia="宋体" w:cs="宋体"/>
                <w:color w:val="000000" w:themeColor="text1"/>
                <w:sz w:val="24"/>
                <w:szCs w:val="24"/>
                <w14:textFill>
                  <w14:solidFill>
                    <w14:schemeClr w14:val="tx1"/>
                  </w14:solidFill>
                </w14:textFill>
              </w:rPr>
              <w:t>蓝色变色硅胶干燥剂</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kern w:val="0"/>
                <w:sz w:val="24"/>
                <w:szCs w:val="24"/>
                <w:lang w:val="en-US" w:eastAsia="zh-CN" w:bidi="ar-SA"/>
              </w:rPr>
            </w:pPr>
            <w:r>
              <w:rPr>
                <w:rFonts w:hint="eastAsia" w:ascii="宋体" w:hAnsi="宋体" w:cs="宋体"/>
                <w:kern w:val="2"/>
                <w:sz w:val="24"/>
                <w:szCs w:val="24"/>
                <w:lang w:val="en-US" w:eastAsia="zh-CN" w:bidi="ar-SA"/>
              </w:rPr>
              <w:t>500g/瓶</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cs="宋体" w:eastAsiaTheme="minorEastAsia"/>
                <w:kern w:val="0"/>
                <w:sz w:val="24"/>
                <w:szCs w:val="24"/>
                <w:lang w:val="en-US" w:eastAsia="zh-CN"/>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10</w:t>
            </w: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斤</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5</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无侧限试模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φ150*230mm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13套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筒+2垫块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6</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无侧限试模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φ50*130mm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9套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筒+2垫块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压碎值测定仪</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kern w:val="0"/>
                <w:sz w:val="24"/>
                <w:szCs w:val="24"/>
                <w:lang w:val="en-US" w:eastAsia="zh-CN" w:bidi="ar-SA"/>
              </w:rPr>
            </w:pPr>
            <w:r>
              <w:rPr>
                <w:rFonts w:hint="eastAsia" w:ascii="宋体" w:hAnsi="宋体" w:cs="宋体"/>
                <w:kern w:val="0"/>
                <w:sz w:val="24"/>
                <w:szCs w:val="24"/>
                <w:lang w:val="en-US" w:eastAsia="zh-CN"/>
              </w:rPr>
              <w:t>石子压碎值配套</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kern w:val="0"/>
                <w:sz w:val="24"/>
                <w:szCs w:val="24"/>
                <w:lang w:val="en-US" w:eastAsia="zh-CN" w:bidi="ar-SA"/>
              </w:rPr>
            </w:pPr>
            <w:r>
              <w:rPr>
                <w:rFonts w:hint="eastAsia" w:ascii="宋体" w:hAnsi="宋体" w:cs="宋体"/>
                <w:kern w:val="0"/>
                <w:sz w:val="24"/>
                <w:szCs w:val="24"/>
                <w:lang w:val="en-US" w:eastAsia="zh-CN"/>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混凝土取芯机夹子</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rPr>
              <w:t>可取50-150芯样</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3把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八角锤</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6磅</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2把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cs="宋体"/>
                <w:kern w:val="0"/>
                <w:sz w:val="24"/>
                <w:szCs w:val="24"/>
                <w:lang w:val="en-US" w:eastAsia="zh-CN" w:bidi="ar-SA"/>
              </w:rPr>
              <w:t>移动小型便携式可折叠吊机</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500公斤电动绞盘液压助力</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轻型触探仪</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10kg</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5根</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起重吊带</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5米5吨</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2根</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国标击实筒（小）</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内径102*筒高116（mm）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套筒+击实筒+垫块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国标击实筒（大）</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内径152*筒高166（mm）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套筒+击实筒+垫块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行标击实筒（小）</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内径100*筒高127（mm）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套筒+击实筒+垫块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行标击实筒（大）</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color w:val="3C3C3C"/>
                <w:kern w:val="2"/>
                <w:sz w:val="24"/>
                <w:szCs w:val="24"/>
                <w:lang w:val="en-US" w:eastAsia="zh-CN" w:bidi="ar-SA"/>
              </w:rPr>
            </w:pPr>
            <w:r>
              <w:rPr>
                <w:rFonts w:hint="eastAsia" w:ascii="宋体" w:hAnsi="宋体" w:cs="宋体"/>
                <w:kern w:val="0"/>
                <w:sz w:val="24"/>
                <w:szCs w:val="24"/>
                <w:lang w:val="en-US" w:eastAsia="zh-CN" w:bidi="ar-SA"/>
              </w:rPr>
              <w:t>内径152*筒高170（mm）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 w:val="24"/>
                <w:szCs w:val="24"/>
                <w:lang w:val="en-US" w:eastAsia="zh-CN" w:bidi="ar-SA"/>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套筒+击实筒+垫块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三联装金属模具</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70*70*20</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20组</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18</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小罐液化气</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kern w:val="2"/>
                <w:sz w:val="24"/>
                <w:szCs w:val="24"/>
                <w:lang w:val="en-US" w:eastAsia="zh-CN" w:bidi="ar-SA"/>
              </w:rPr>
              <w:t>5公斤</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1灌</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碳纤维拉拔铁块</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40mm*40mm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100块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20</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抹灰刀</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一寸</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3盒</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泡沫填缝剂</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kern w:val="2"/>
                <w:sz w:val="24"/>
                <w:szCs w:val="24"/>
                <w:lang w:val="en-US" w:eastAsia="zh-CN" w:bidi="ar-SA"/>
              </w:rPr>
              <w:t>750ml</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不锈钢盆</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46cm、60cm面盆</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各8个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托盘</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60cm*40cm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圆形塑料水桶</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30*35</w:t>
            </w:r>
            <w:bookmarkStart w:id="1" w:name="_GoBack"/>
            <w:bookmarkEnd w:id="1"/>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25</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内六角扳手</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1.5-10</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塑料绑扎带</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小号绑钢筋用</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5盒</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普通硅酸盐水泥</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P.0 42.5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100kg</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附厂家出厂报告（具体含量）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28</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聚羧酸减水剂</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5kg</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29</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ind w:firstLine="720" w:firstLineChars="300"/>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矿粉</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S95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20kg</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附厂家出厂报告(具体含量）</w:t>
            </w:r>
          </w:p>
        </w:tc>
      </w:tr>
    </w:tbl>
    <w:p>
      <w:pPr>
        <w:tabs>
          <w:tab w:val="left" w:pos="315"/>
          <w:tab w:val="left" w:pos="8820"/>
        </w:tabs>
        <w:spacing w:line="400" w:lineRule="exact"/>
        <w:ind w:right="267" w:rightChars="127"/>
        <w:rPr>
          <w:rFonts w:hint="eastAsia" w:ascii="宋体" w:hAnsi="宋体" w:eastAsia="宋体" w:cs="宋体"/>
          <w:bCs/>
          <w:sz w:val="28"/>
          <w:szCs w:val="28"/>
        </w:rPr>
      </w:pPr>
      <w:r>
        <w:rPr>
          <w:rFonts w:hint="eastAsia" w:ascii="宋体" w:hAnsi="宋体" w:eastAsia="宋体" w:cs="宋体"/>
          <w:bCs/>
          <w:sz w:val="28"/>
          <w:szCs w:val="28"/>
        </w:rPr>
        <w:t>3.询价项目品种、规格情况</w:t>
      </w:r>
    </w:p>
    <w:p>
      <w:pPr>
        <w:tabs>
          <w:tab w:val="left" w:pos="315"/>
          <w:tab w:val="left" w:pos="8820"/>
        </w:tabs>
        <w:spacing w:line="400" w:lineRule="exact"/>
        <w:ind w:right="267" w:rightChars="127"/>
        <w:rPr>
          <w:rFonts w:hint="eastAsia" w:ascii="宋体" w:hAnsi="宋体" w:eastAsia="宋体" w:cs="宋体"/>
          <w:bCs/>
          <w:sz w:val="24"/>
          <w:szCs w:val="24"/>
        </w:rPr>
      </w:pP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备注：（1）付款方式：需求方</w:t>
      </w:r>
      <w:r>
        <w:rPr>
          <w:rFonts w:hint="eastAsia" w:ascii="宋体" w:hAnsi="宋体" w:eastAsia="宋体" w:cs="宋体"/>
          <w:color w:val="333333"/>
          <w:sz w:val="28"/>
          <w:szCs w:val="28"/>
        </w:rPr>
        <w:t>验收合格后一次性付清；</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货物制造、包装、仓储、运输、设备检定校准、安装、调试及验收合格前和保修期内备品备件发生的所有含税费用；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w:t>
      </w:r>
      <w:r>
        <w:rPr>
          <w:rFonts w:hint="eastAsia" w:ascii="宋体" w:hAnsi="宋体" w:cs="宋体"/>
          <w:sz w:val="28"/>
          <w:szCs w:val="28"/>
          <w:lang w:val="en-US" w:eastAsia="zh-CN"/>
        </w:rPr>
        <w:t>3</w:t>
      </w:r>
      <w:r>
        <w:rPr>
          <w:rFonts w:hint="eastAsia" w:ascii="宋体" w:hAnsi="宋体" w:eastAsia="宋体" w:cs="宋体"/>
          <w:sz w:val="28"/>
          <w:szCs w:val="28"/>
        </w:rPr>
        <w:t>％增值税专用发票报价。</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二、投标人资格要求</w:t>
      </w:r>
    </w:p>
    <w:p>
      <w:pPr>
        <w:tabs>
          <w:tab w:val="left" w:pos="0"/>
        </w:tabs>
        <w:spacing w:line="500" w:lineRule="exact"/>
        <w:ind w:right="78" w:rightChars="37" w:firstLine="700" w:firstLineChars="250"/>
        <w:jc w:val="left"/>
        <w:rPr>
          <w:rFonts w:hint="eastAsia" w:ascii="宋体" w:hAnsi="宋体" w:eastAsia="宋体" w:cs="宋体"/>
          <w:bCs/>
          <w:sz w:val="28"/>
          <w:szCs w:val="28"/>
        </w:rPr>
      </w:pPr>
      <w:r>
        <w:rPr>
          <w:rFonts w:hint="eastAsia" w:ascii="宋体" w:hAnsi="宋体" w:eastAsia="宋体" w:cs="宋体"/>
          <w:sz w:val="28"/>
          <w:szCs w:val="28"/>
        </w:rPr>
        <w:t>投标公司必须是依法注册，具有独立法人资格的公司或其品牌授权委托的代理商/经销商。</w:t>
      </w:r>
    </w:p>
    <w:p>
      <w:pPr>
        <w:tabs>
          <w:tab w:val="left" w:pos="0"/>
        </w:tabs>
        <w:spacing w:line="500" w:lineRule="exact"/>
        <w:ind w:right="78" w:rightChars="37" w:firstLine="600" w:firstLineChars="200"/>
        <w:jc w:val="left"/>
        <w:rPr>
          <w:rFonts w:hint="eastAsia" w:ascii="宋体" w:hAnsi="宋体" w:eastAsia="宋体" w:cs="宋体"/>
          <w:bCs/>
          <w:sz w:val="30"/>
          <w:szCs w:val="30"/>
        </w:rPr>
      </w:pPr>
      <w:r>
        <w:rPr>
          <w:rFonts w:hint="eastAsia" w:ascii="宋体" w:hAnsi="宋体" w:eastAsia="宋体" w:cs="宋体"/>
          <w:bCs/>
          <w:sz w:val="30"/>
          <w:szCs w:val="30"/>
        </w:rPr>
        <w:t>三、服务要求</w:t>
      </w:r>
    </w:p>
    <w:p>
      <w:pPr>
        <w:tabs>
          <w:tab w:val="left" w:pos="0"/>
        </w:tabs>
        <w:spacing w:line="500" w:lineRule="exact"/>
        <w:ind w:right="78" w:rightChars="37" w:firstLine="420" w:firstLineChars="150"/>
        <w:rPr>
          <w:rFonts w:hint="eastAsia" w:ascii="宋体" w:hAnsi="宋体" w:eastAsia="宋体" w:cs="宋体"/>
          <w:bCs/>
          <w:color w:val="000000"/>
          <w:sz w:val="28"/>
          <w:szCs w:val="28"/>
        </w:rPr>
      </w:pPr>
      <w:r>
        <w:rPr>
          <w:rFonts w:hint="eastAsia" w:ascii="宋体" w:hAnsi="宋体" w:eastAsia="宋体" w:cs="宋体"/>
          <w:bCs/>
          <w:color w:val="000000"/>
          <w:sz w:val="28"/>
          <w:szCs w:val="28"/>
        </w:rPr>
        <w:t>所提供商品必须安排免费送货至指定地点并提供安装服务，须按国家法律法规规章和三包规定提供服务。</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6</w:t>
      </w:r>
      <w:r>
        <w:rPr>
          <w:rFonts w:hint="eastAsia" w:ascii="宋体" w:hAnsi="宋体" w:eastAsia="宋体" w:cs="宋体"/>
          <w:sz w:val="28"/>
          <w:szCs w:val="28"/>
        </w:rPr>
        <w:t>月</w:t>
      </w:r>
      <w:r>
        <w:rPr>
          <w:rFonts w:hint="eastAsia" w:ascii="宋体" w:hAnsi="宋体" w:cs="宋体"/>
          <w:sz w:val="28"/>
          <w:szCs w:val="28"/>
          <w:lang w:val="en-US" w:eastAsia="zh-CN"/>
        </w:rPr>
        <w:t>14</w:t>
      </w:r>
      <w:r>
        <w:rPr>
          <w:rFonts w:hint="eastAsia" w:ascii="宋体" w:hAnsi="宋体" w:eastAsia="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3.合同签订：待询价结果确定后，需方与中标单位签订购销合同。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报 价 书 格 式</w:t>
      </w: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87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序号</w:t>
            </w:r>
          </w:p>
        </w:tc>
        <w:tc>
          <w:tcPr>
            <w:tcW w:w="1877"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产品名称</w:t>
            </w:r>
          </w:p>
        </w:tc>
        <w:tc>
          <w:tcPr>
            <w:tcW w:w="1395"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规格型号</w:t>
            </w:r>
          </w:p>
        </w:tc>
        <w:tc>
          <w:tcPr>
            <w:tcW w:w="1075"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数量</w:t>
            </w:r>
          </w:p>
        </w:tc>
        <w:tc>
          <w:tcPr>
            <w:tcW w:w="1390"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单价（元）</w:t>
            </w:r>
          </w:p>
        </w:tc>
        <w:tc>
          <w:tcPr>
            <w:tcW w:w="1344"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总价（元）</w:t>
            </w:r>
          </w:p>
        </w:tc>
        <w:tc>
          <w:tcPr>
            <w:tcW w:w="1344"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1</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50ml量筒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2</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不锈钢托盘</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3</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不锈钢托盘</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4</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蓝色变色硅胶干燥剂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5</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rPr>
              <w:t>无侧限试模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6</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rPr>
              <w:t>无侧限试模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rPr>
              <w:t>压碎值测定仪</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rPr>
              <w:t>混凝土取芯机夹子</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bidi="ar-SA"/>
              </w:rPr>
              <w:t>八角锤</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default" w:ascii="宋体" w:hAnsi="宋体" w:cs="宋体"/>
                <w:kern w:val="0"/>
                <w:sz w:val="24"/>
                <w:szCs w:val="24"/>
                <w:lang w:val="en-US" w:eastAsia="zh-CN" w:bidi="ar-SA"/>
              </w:rPr>
              <w:t>移动小型便携式可折叠吊机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bidi="ar-SA"/>
              </w:rPr>
              <w:t>轻型触探仪</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bidi="ar-SA"/>
              </w:rPr>
              <w:t>起重吊带</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bidi="ar-SA"/>
              </w:rPr>
              <w:t>国标击实筒（小）</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14</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bidi="ar-SA"/>
              </w:rPr>
              <w:t>国标击实筒（大）</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15</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bidi="ar-SA"/>
              </w:rPr>
              <w:t>行标击实筒（小）</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16</w:t>
            </w:r>
          </w:p>
        </w:tc>
        <w:tc>
          <w:tcPr>
            <w:tcW w:w="18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cs="宋体"/>
                <w:kern w:val="0"/>
                <w:sz w:val="24"/>
                <w:szCs w:val="24"/>
                <w:lang w:val="en-US" w:eastAsia="zh-CN" w:bidi="ar-SA"/>
              </w:rPr>
              <w:t>行标击实筒（大）</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17</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sz w:val="24"/>
                <w:szCs w:val="24"/>
              </w:rPr>
            </w:pPr>
            <w:r>
              <w:rPr>
                <w:rFonts w:hint="eastAsia" w:ascii="宋体" w:hAnsi="宋体" w:cs="宋体"/>
                <w:color w:val="000000"/>
                <w:sz w:val="24"/>
                <w:szCs w:val="24"/>
                <w:lang w:val="en-US" w:eastAsia="zh-CN"/>
              </w:rPr>
              <w:t>三联装金属模具</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18</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小罐液化气</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碳纤维拉拔铁块</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20</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抹灰刀</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泡沫填缝剂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22</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不锈钢盆</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23</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托盘</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24</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圆形塑料水桶</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25</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内六角扳手</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26</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塑料绑扎带</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27</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普通硅酸盐水泥</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28</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聚羧酸减水剂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29</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矿粉</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bl>
    <w:p>
      <w:pPr>
        <w:tabs>
          <w:tab w:val="left" w:pos="0"/>
        </w:tabs>
        <w:spacing w:line="440" w:lineRule="exact"/>
        <w:ind w:right="78" w:rightChars="37"/>
        <w:rPr>
          <w:rFonts w:hint="eastAsia" w:ascii="宋体" w:hAnsi="宋体" w:eastAsia="宋体" w:cs="宋体"/>
          <w:sz w:val="28"/>
          <w:szCs w:val="28"/>
        </w:rPr>
      </w:pPr>
    </w:p>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报价含运输费、施工、安装、调试、检定校准、税费及所产生的劳务费等全部费用。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37405E1"/>
    <w:rsid w:val="04332B3F"/>
    <w:rsid w:val="051A13AD"/>
    <w:rsid w:val="06193CDA"/>
    <w:rsid w:val="07A40488"/>
    <w:rsid w:val="09074B31"/>
    <w:rsid w:val="0AA124A9"/>
    <w:rsid w:val="0E7415CF"/>
    <w:rsid w:val="14195D79"/>
    <w:rsid w:val="15AE368D"/>
    <w:rsid w:val="164B3423"/>
    <w:rsid w:val="16E70EEC"/>
    <w:rsid w:val="17421FA3"/>
    <w:rsid w:val="17925C65"/>
    <w:rsid w:val="191E392C"/>
    <w:rsid w:val="1B11768B"/>
    <w:rsid w:val="1C7119CC"/>
    <w:rsid w:val="1CA3381B"/>
    <w:rsid w:val="1E673561"/>
    <w:rsid w:val="1FAC52CA"/>
    <w:rsid w:val="20A410DF"/>
    <w:rsid w:val="218C77A6"/>
    <w:rsid w:val="21B44AD4"/>
    <w:rsid w:val="24CD4D98"/>
    <w:rsid w:val="278F412D"/>
    <w:rsid w:val="288527C5"/>
    <w:rsid w:val="2ABF5CB0"/>
    <w:rsid w:val="2B162949"/>
    <w:rsid w:val="2CC22BD3"/>
    <w:rsid w:val="2E323EC1"/>
    <w:rsid w:val="2EBB181F"/>
    <w:rsid w:val="2FAA3A4A"/>
    <w:rsid w:val="31C0705E"/>
    <w:rsid w:val="31D33A30"/>
    <w:rsid w:val="3201270C"/>
    <w:rsid w:val="331D7A9E"/>
    <w:rsid w:val="333077D1"/>
    <w:rsid w:val="34136FC3"/>
    <w:rsid w:val="377D6261"/>
    <w:rsid w:val="38C3792C"/>
    <w:rsid w:val="3C5F4B42"/>
    <w:rsid w:val="3D4D4E2C"/>
    <w:rsid w:val="3D724CD6"/>
    <w:rsid w:val="3DFB09DB"/>
    <w:rsid w:val="3E0D1EB0"/>
    <w:rsid w:val="40526FD9"/>
    <w:rsid w:val="42384A2D"/>
    <w:rsid w:val="446E613A"/>
    <w:rsid w:val="44D70F53"/>
    <w:rsid w:val="44FC39B7"/>
    <w:rsid w:val="490A7CC5"/>
    <w:rsid w:val="4A8561FD"/>
    <w:rsid w:val="4BBC5C4E"/>
    <w:rsid w:val="4D096E32"/>
    <w:rsid w:val="4D5819A6"/>
    <w:rsid w:val="50C80BF1"/>
    <w:rsid w:val="526A3CD1"/>
    <w:rsid w:val="528944AB"/>
    <w:rsid w:val="52A45FA8"/>
    <w:rsid w:val="5339287A"/>
    <w:rsid w:val="54926564"/>
    <w:rsid w:val="54DB7A4E"/>
    <w:rsid w:val="55F41FEA"/>
    <w:rsid w:val="571C00BF"/>
    <w:rsid w:val="5A18336F"/>
    <w:rsid w:val="5AEB0F6E"/>
    <w:rsid w:val="607C61A9"/>
    <w:rsid w:val="60B67F18"/>
    <w:rsid w:val="644D1160"/>
    <w:rsid w:val="65B37E9F"/>
    <w:rsid w:val="660E4375"/>
    <w:rsid w:val="6BE70EE3"/>
    <w:rsid w:val="6C591345"/>
    <w:rsid w:val="6E384E43"/>
    <w:rsid w:val="6EC07A04"/>
    <w:rsid w:val="7358166F"/>
    <w:rsid w:val="739E1604"/>
    <w:rsid w:val="741E6BF6"/>
    <w:rsid w:val="745740F5"/>
    <w:rsid w:val="754A04BF"/>
    <w:rsid w:val="760A38DB"/>
    <w:rsid w:val="76C87178"/>
    <w:rsid w:val="77157839"/>
    <w:rsid w:val="77671B07"/>
    <w:rsid w:val="782B5FDD"/>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hfzfcg</Company>
  <Pages>6</Pages>
  <Words>1363</Words>
  <Characters>1579</Characters>
  <Lines>10</Lines>
  <Paragraphs>3</Paragraphs>
  <TotalTime>2</TotalTime>
  <ScaleCrop>false</ScaleCrop>
  <LinksUpToDate>false</LinksUpToDate>
  <CharactersWithSpaces>1677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WPS_1637669985</cp:lastModifiedBy>
  <cp:lastPrinted>2022-03-14T02:57:00Z</cp:lastPrinted>
  <dcterms:modified xsi:type="dcterms:W3CDTF">2022-06-09T07:18:23Z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8228C8E223E647F2A4314FC91EFD8900</vt:lpwstr>
  </property>
</Properties>
</file>